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2022年度安徽工程大学高等教育研究项目选题指南</w:t>
      </w:r>
    </w:p>
    <w:p>
      <w:pPr>
        <w:numPr>
          <w:ilvl w:val="-1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一、综合治理类</w:t>
      </w:r>
    </w:p>
    <w:p>
      <w:pPr>
        <w:numPr>
          <w:ilvl w:val="-1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大学治理视域下高校巡察工作运行机制研究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围绕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高校内部巡察工作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，开展以</w:t>
      </w:r>
      <w:r>
        <w:rPr>
          <w:rFonts w:hint="eastAsia" w:ascii="仿宋" w:hAnsi="仿宋" w:eastAsia="仿宋" w:cs="仿宋"/>
          <w:sz w:val="28"/>
          <w:szCs w:val="28"/>
        </w:rPr>
        <w:t>责任落实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协作配合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工作推进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整改实施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条件保障为主要内容的高校巡察运行机制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研究。</w:t>
      </w:r>
    </w:p>
    <w:p>
      <w:pPr>
        <w:numPr>
          <w:ilvl w:val="-1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2.安徽工程大学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一校两区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运行机制研究</w:t>
      </w:r>
    </w:p>
    <w:p>
      <w:pPr>
        <w:widowControl/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围绕探索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适合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一校两区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办学管理模式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教学管理体系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教学资源配置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校园文化建设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等方面研究。</w:t>
      </w:r>
    </w:p>
    <w:p>
      <w:pPr>
        <w:numPr>
          <w:ilvl w:val="-1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auto"/>
        </w:rPr>
        <w:t>校院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auto"/>
        </w:rPr>
        <w:t>级管理体制改革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  <w:t>研究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围绕学校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治理体系和治理能力现代化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建设，开展构建“科学高效、关系明晰、职责明确、权限规范、管理严格”的校院二级管理体制研究。</w:t>
      </w:r>
    </w:p>
    <w:p>
      <w:pPr>
        <w:numPr>
          <w:ilvl w:val="-1"/>
          <w:numId w:val="0"/>
        </w:numPr>
        <w:spacing w:line="560" w:lineRule="exact"/>
        <w:ind w:firstLine="562" w:firstLineChars="20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/>
        </w:rPr>
        <w:t>产教融合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  <w:t>背景下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/>
        </w:rPr>
        <w:t>现代产业学院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  <w:t>建设研究</w:t>
      </w:r>
    </w:p>
    <w:p>
      <w:pPr>
        <w:widowControl/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围绕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现代产业学院办学定位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和建设目标，开展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构建科学高效的运行管理制度,多种形式的育人模式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，积极推进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现代产业学院建设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研究。</w:t>
      </w:r>
    </w:p>
    <w:p>
      <w:pPr>
        <w:numPr>
          <w:ilvl w:val="-1"/>
          <w:numId w:val="0"/>
        </w:numPr>
        <w:spacing w:line="56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二、学科建设类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学校博士学位授权点建设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改革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研究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围绕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推进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学校博士学位授权点建设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，结合学校学科建设实际情况，加强学校博士学位授权点遴选和建设研究。</w:t>
      </w:r>
    </w:p>
    <w:p>
      <w:pPr>
        <w:numPr>
          <w:ilvl w:val="-1"/>
          <w:numId w:val="0"/>
        </w:numPr>
        <w:spacing w:line="56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三、人才培养类</w:t>
      </w:r>
    </w:p>
    <w:p>
      <w:pPr>
        <w:numPr>
          <w:ilvl w:val="-1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6.高校劳动教育改革创新研究</w:t>
      </w:r>
    </w:p>
    <w:p>
      <w:pPr>
        <w:numPr>
          <w:ilvl w:val="-1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围绕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形成全员全过程全方位的劳动育人新格局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，推动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构建具有学校特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和工匠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精神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的劳动教育融合实践平台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建设研究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</w:t>
      </w:r>
    </w:p>
    <w:p>
      <w:pPr>
        <w:numPr>
          <w:ilvl w:val="-1"/>
          <w:numId w:val="0"/>
        </w:numPr>
        <w:spacing w:line="560" w:lineRule="exact"/>
        <w:ind w:firstLine="560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 xml:space="preserve">课程思政背景下国防教育创新模式研究 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围绕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新时代加强全民国防教育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的基本要求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，开展高校思想政治教育融入国防教育课程教学和改革创新模式研究。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新一轮审核评估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视域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下高校教育教学质量监控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机制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研究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围绕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教育教学水平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提高人才培养质量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，开展如何在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新一轮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审核评估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视域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健全教育教学质量保障与监控机制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研究</w:t>
      </w:r>
    </w:p>
    <w:p>
      <w:pPr>
        <w:numPr>
          <w:ilvl w:val="-1"/>
          <w:numId w:val="0"/>
        </w:num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深化新时代教育评价改革研究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 xml:space="preserve">围绕以立德树人为根本任务的新时代教育评价体系建设，开展适合不同评价对象的多样化评价方式、方法、工具和策略研究。 </w:t>
      </w:r>
    </w:p>
    <w:p>
      <w:pPr>
        <w:numPr>
          <w:ilvl w:val="-1"/>
          <w:numId w:val="0"/>
        </w:numPr>
        <w:spacing w:line="56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四、师资建设类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高校专职辅导员队伍建设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研究</w:t>
      </w:r>
      <w:bookmarkStart w:id="0" w:name="_GoBack"/>
      <w:bookmarkEnd w:id="0"/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围绕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提升辅导员的政治素质和业务水平，推进辅导员职业化专业化发展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，开展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专职辅导员职称评聘及辅导员岗位聘期考核办法研究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3DED"/>
    <w:rsid w:val="06921D34"/>
    <w:rsid w:val="0C6E661E"/>
    <w:rsid w:val="14CA5B49"/>
    <w:rsid w:val="19B45F01"/>
    <w:rsid w:val="1A422C59"/>
    <w:rsid w:val="1E8436B5"/>
    <w:rsid w:val="20C867C2"/>
    <w:rsid w:val="213318A5"/>
    <w:rsid w:val="2D0B6EB2"/>
    <w:rsid w:val="2DA36DC6"/>
    <w:rsid w:val="34633FD3"/>
    <w:rsid w:val="34D90C94"/>
    <w:rsid w:val="3C38713D"/>
    <w:rsid w:val="42AE4C5D"/>
    <w:rsid w:val="4847140C"/>
    <w:rsid w:val="4EF04D53"/>
    <w:rsid w:val="55E601C5"/>
    <w:rsid w:val="5A317FDF"/>
    <w:rsid w:val="5B813B44"/>
    <w:rsid w:val="5FB45859"/>
    <w:rsid w:val="67D8319F"/>
    <w:rsid w:val="6A614F52"/>
    <w:rsid w:val="6AE9345F"/>
    <w:rsid w:val="6AED6012"/>
    <w:rsid w:val="7AC677D2"/>
    <w:rsid w:val="7D960C02"/>
    <w:rsid w:val="7F3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2022-01-07T00:41:00Z</cp:lastPrinted>
  <dcterms:modified xsi:type="dcterms:W3CDTF">2022-01-14T08:04:46Z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1176A3960D774D8A8C91CD7B9CCAEFBB</vt:lpwstr>
  </property>
</Properties>
</file>